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292555" w:rsidRPr="0029255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Դիլիջան համայնքի Հաղարծին, Խաչարձան, Հովք, Գոշ բնակավայրերում փողոցների տուֆապատման աշխատանքների  տեխնիկական հսկողության ծառայություններ</w:t>
      </w:r>
      <w:r w:rsidR="00EC3D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</w:t>
      </w:r>
      <w:r w:rsidR="00EC3D44" w:rsidRPr="00EC3D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EC3D4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129"/>
        <w:gridCol w:w="190"/>
        <w:gridCol w:w="519"/>
        <w:gridCol w:w="266"/>
        <w:gridCol w:w="301"/>
        <w:gridCol w:w="142"/>
        <w:gridCol w:w="283"/>
        <w:gridCol w:w="259"/>
        <w:gridCol w:w="25"/>
        <w:gridCol w:w="24"/>
        <w:gridCol w:w="611"/>
        <w:gridCol w:w="73"/>
        <w:gridCol w:w="142"/>
        <w:gridCol w:w="648"/>
        <w:gridCol w:w="61"/>
        <w:gridCol w:w="352"/>
        <w:gridCol w:w="73"/>
        <w:gridCol w:w="425"/>
        <w:gridCol w:w="21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B3207E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10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B3207E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10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B3207E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2555" w:rsidRPr="00CB774E" w:rsidTr="00125D42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292555" w:rsidRPr="00CB774E" w:rsidRDefault="00292555" w:rsidP="00292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</w:rPr>
              <w:t xml:space="preserve">Դիլիջան համայնքի Հաղարծին բնակավայրի 2-րդ, 7-րդ, 10-րդ փողոցների տուֆապատման </w:t>
            </w:r>
            <w:r w:rsidRPr="00292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աշխատանքների տեխնիկական հսկողության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1576044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92555" w:rsidRPr="00CB774E" w:rsidTr="00125D42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292555" w:rsidRPr="00CB774E" w:rsidRDefault="00253125" w:rsidP="00292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</w:rPr>
              <w:t>Դիլիջան համայնքի Խաչարձան բնակավայրի 2-րդ, 3-րդ փողոցների տուֆապատման աշխատանքների տեխնիկական հսկողության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1467684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92555" w:rsidRPr="00CB774E" w:rsidTr="00125D42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292555" w:rsidRPr="00CB774E" w:rsidRDefault="00253125" w:rsidP="00292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43" w:type="dxa"/>
            <w:gridSpan w:val="5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</w:rPr>
              <w:t>Դիլիջան համայնքի Գոշ բնակավայրի Մ. Գոշի փողոցի տուֆապատման աշխատանքների տեխնիկական հսկողության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1302372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92555" w:rsidRPr="00CB774E" w:rsidTr="00125D42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292555" w:rsidRPr="00CB774E" w:rsidRDefault="00253125" w:rsidP="00292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1843" w:type="dxa"/>
            <w:gridSpan w:val="5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</w:rPr>
              <w:t>Դիլիջան համայնքի Հովք բնակավայրի 1-ին փողոցների տուֆապատման աշխատանքների տեխնիկական հսկողության ծառայություններ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555" w:rsidRPr="00CB774E" w:rsidRDefault="00292555" w:rsidP="00292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2555" w:rsidRPr="00292555" w:rsidRDefault="00292555" w:rsidP="0029255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1180332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2555" w:rsidRPr="008537FA" w:rsidRDefault="00292555" w:rsidP="0029255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A50FA6" w:rsidP="00A50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7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7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960BC" w:rsidRPr="00CB774E" w:rsidTr="00EC0E03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1960BC" w:rsidRPr="00CB774E" w:rsidRDefault="00EC3D44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3139" w:type="dxa"/>
            <w:gridSpan w:val="14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354166,7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EC0E03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70833,33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425000</w:t>
            </w:r>
          </w:p>
        </w:tc>
      </w:tr>
      <w:tr w:rsidR="001960BC" w:rsidRPr="00CB774E" w:rsidTr="00A50FA6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1960BC" w:rsidRPr="00CB774E" w:rsidRDefault="00EC3D44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նախագծերի պետական արտագերատեսչական փորձաքննություն» ՓԲԸ</w:t>
            </w:r>
          </w:p>
        </w:tc>
        <w:tc>
          <w:tcPr>
            <w:tcW w:w="3139" w:type="dxa"/>
            <w:gridSpan w:val="14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525000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A50FA6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105000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630000</w:t>
            </w:r>
          </w:p>
        </w:tc>
      </w:tr>
      <w:tr w:rsidR="001960BC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1960BC" w:rsidRPr="00CB774E" w:rsidRDefault="00EC3D44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«Սարդարյանշին» ՍՊԸ</w:t>
            </w:r>
          </w:p>
        </w:tc>
        <w:tc>
          <w:tcPr>
            <w:tcW w:w="3139" w:type="dxa"/>
            <w:gridSpan w:val="14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0761CA" w:rsidRDefault="00EC0E03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«Գեղարքունիք Նաիրի»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«Շին կոնտրոլ»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178000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1068000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«Տամո 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«Սուար»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0E03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0E03" w:rsidRPr="00CB774E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0E03" w:rsidRPr="00CB774E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329166,7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65833,33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395000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նախագծերի պետական արտագերատեսչական փորձաքննություն» ՓԲԸ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485000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582000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«Սարդարյանշին»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1044000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1044000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«Գեղարքունիք Նաիրի»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«Շին կոնտրոլ»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835000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167000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1002000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«Տամո 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«Սուար»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0E03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0E03" w:rsidRPr="00CB774E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0E03" w:rsidRPr="00CB774E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29166,7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58333,33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0E03" w:rsidRDefault="00EC0E03" w:rsidP="00EC0E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նախագծերի պետական արտագերատեսչական փորձաքննություն» ՓԲԸ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516000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«Սարդարյանշին»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911000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911000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«Գեղարքունիք Նաիրի»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«Շին կոնտրոլ»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742000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890400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«Տամո 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«Սուար»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266666,7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53333,33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նախագծերի պետական արտագերատեսչական փորձաքննություն» ՓԲԸ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468000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«Սարդարյանշին»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722000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722000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«Գեղարքունիք Նաիրի»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«Շին կոնտրոլ»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672000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806400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«Տամո շին»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</w:tr>
      <w:tr w:rsidR="00EC3D44" w:rsidRPr="00CB774E" w:rsidTr="00A50FA6">
        <w:tc>
          <w:tcPr>
            <w:tcW w:w="1385" w:type="dxa"/>
            <w:gridSpan w:val="3"/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46" w:type="dxa"/>
            <w:gridSpan w:val="7"/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«Սուար» ՍՊԸ</w:t>
            </w: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790000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3D44" w:rsidRDefault="00EC0E03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790000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3D44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3D44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3D44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3D44" w:rsidRPr="001960BC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3D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«ՎԱՐԴ – 1» ՍՊԸ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C3D44" w:rsidRPr="001960BC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C3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3D44" w:rsidRPr="001960BC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C3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</w:tr>
      <w:tr w:rsidR="00EC3D44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32"/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C3D44" w:rsidRPr="00CB774E" w:rsidTr="00345778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C3D44" w:rsidRPr="00CB774E" w:rsidTr="00345778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3D44" w:rsidRPr="00CB774E" w:rsidTr="00345778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4.2023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EC3D44" w:rsidRPr="00CB774E" w:rsidTr="00345778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C3D44" w:rsidRPr="00CB774E" w:rsidTr="00345778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C3D44" w:rsidRPr="00CB774E" w:rsidTr="00345778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3D44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3D44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3D44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3D44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EC3D44" w:rsidRPr="00C64F5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A0E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ԽԾՁԲ-23/12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C3D44" w:rsidRPr="008A0EE8" w:rsidRDefault="008A0EE8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1490000</w:t>
            </w:r>
          </w:p>
        </w:tc>
      </w:tr>
      <w:tr w:rsidR="00EC3D44" w:rsidRPr="00CB774E" w:rsidTr="00345778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3D44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C3D44" w:rsidRPr="00CB774E" w:rsidTr="00921AA8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EC3D44" w:rsidRPr="00C64F5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A0E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,,Խաչմիշշին,, ՍՊԸ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EC3D44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ք.</w:t>
            </w: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Իջևան, Նալբանդյան 1/5</w:t>
            </w:r>
          </w:p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C3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093 19-12-00</w:t>
            </w: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4655F6" w:rsidRDefault="004655F6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55F6">
              <w:rPr>
                <w:rStyle w:val="Hyperlink"/>
                <w:b/>
                <w:sz w:val="14"/>
                <w:szCs w:val="14"/>
                <w:u w:val="none"/>
              </w:rPr>
              <w:t>hamzyan@mail.ru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B3207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8A0EE8" w:rsidRDefault="008A0EE8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07613551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C3D44" w:rsidRPr="00CB774E" w:rsidRDefault="00EC3D44" w:rsidP="00EC3D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6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44" w:rsidRPr="00CB774E" w:rsidTr="00345778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Հրապարակվել է տեղեկագրում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44" w:rsidRPr="00CB774E" w:rsidTr="0034577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44" w:rsidRPr="00CB774E" w:rsidTr="0034577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44" w:rsidRPr="00CB774E" w:rsidTr="0034577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EC3D44" w:rsidRPr="00CB774E" w:rsidRDefault="00EC3D44" w:rsidP="00EC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44" w:rsidRPr="00CB774E" w:rsidTr="00345778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D44" w:rsidRPr="00CB774E" w:rsidTr="00345778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D44" w:rsidRPr="00CB774E" w:rsidRDefault="00EC3D44" w:rsidP="00EC3D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3D44" w:rsidRPr="00CB774E" w:rsidTr="00345778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C3D44" w:rsidRPr="00CB774E" w:rsidRDefault="00EC3D44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EC3D44" w:rsidRPr="00CB774E" w:rsidRDefault="003452E1" w:rsidP="00EC3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7" w:history="1">
              <w:r w:rsidR="00EC3D44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E1" w:rsidRDefault="003452E1" w:rsidP="001960BC">
      <w:pPr>
        <w:spacing w:before="0" w:after="0"/>
      </w:pPr>
      <w:r>
        <w:separator/>
      </w:r>
    </w:p>
  </w:endnote>
  <w:endnote w:type="continuationSeparator" w:id="0">
    <w:p w:rsidR="003452E1" w:rsidRDefault="003452E1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E1" w:rsidRDefault="003452E1" w:rsidP="001960BC">
      <w:pPr>
        <w:spacing w:before="0" w:after="0"/>
      </w:pPr>
      <w:r>
        <w:separator/>
      </w:r>
    </w:p>
  </w:footnote>
  <w:footnote w:type="continuationSeparator" w:id="0">
    <w:p w:rsidR="003452E1" w:rsidRDefault="003452E1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3D44" w:rsidRPr="00871366" w:rsidRDefault="00EC3D44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3D44" w:rsidRPr="002D0BF6" w:rsidRDefault="00EC3D44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3D44" w:rsidRPr="0078682E" w:rsidRDefault="00EC3D44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C3D44" w:rsidRPr="0078682E" w:rsidRDefault="00EC3D44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C3D44" w:rsidRPr="00005B9C" w:rsidRDefault="00EC3D44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1960BC"/>
    <w:rsid w:val="001B2B05"/>
    <w:rsid w:val="002152BD"/>
    <w:rsid w:val="00253125"/>
    <w:rsid w:val="00292555"/>
    <w:rsid w:val="002E56F9"/>
    <w:rsid w:val="003452E1"/>
    <w:rsid w:val="004418EA"/>
    <w:rsid w:val="00453C89"/>
    <w:rsid w:val="004655F6"/>
    <w:rsid w:val="00532355"/>
    <w:rsid w:val="00574FD0"/>
    <w:rsid w:val="005965BB"/>
    <w:rsid w:val="005E7341"/>
    <w:rsid w:val="00831E6E"/>
    <w:rsid w:val="008A0EE8"/>
    <w:rsid w:val="00921AA8"/>
    <w:rsid w:val="00A40174"/>
    <w:rsid w:val="00A45CFC"/>
    <w:rsid w:val="00A50FA6"/>
    <w:rsid w:val="00AC39E1"/>
    <w:rsid w:val="00AF7CDC"/>
    <w:rsid w:val="00B21487"/>
    <w:rsid w:val="00B3207E"/>
    <w:rsid w:val="00DD0F68"/>
    <w:rsid w:val="00DF376D"/>
    <w:rsid w:val="00EC0E03"/>
    <w:rsid w:val="00EC3D44"/>
    <w:rsid w:val="00F43030"/>
    <w:rsid w:val="00F80531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29255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92555"/>
    <w:rPr>
      <w:rFonts w:ascii="Baltica" w:eastAsia="Times New Roman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dcterms:created xsi:type="dcterms:W3CDTF">2021-08-02T06:39:00Z</dcterms:created>
  <dcterms:modified xsi:type="dcterms:W3CDTF">2023-05-12T10:36:00Z</dcterms:modified>
</cp:coreProperties>
</file>