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C7" w:rsidRDefault="001949C7" w:rsidP="001949C7">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w:t>
      </w:r>
      <w:r w:rsidR="004A42E9">
        <w:rPr>
          <w:rFonts w:ascii="GHEA Grapalat" w:hAnsi="GHEA Grapalat"/>
          <w:sz w:val="16"/>
          <w:szCs w:val="16"/>
          <w:lang w:val="hy-AM"/>
        </w:rPr>
        <w:t xml:space="preserve"> </w:t>
      </w:r>
      <w:r>
        <w:rPr>
          <w:rFonts w:ascii="GHEA Grapalat" w:hAnsi="GHEA Grapalat"/>
          <w:sz w:val="16"/>
          <w:szCs w:val="16"/>
          <w:lang w:val="hy-AM"/>
        </w:rPr>
        <w:t xml:space="preserve"> /</w:t>
      </w:r>
      <w:r w:rsidR="004A42E9">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4A42E9">
        <w:rPr>
          <w:rFonts w:ascii="GHEA Grapalat" w:hAnsi="GHEA Grapalat"/>
          <w:sz w:val="16"/>
          <w:szCs w:val="16"/>
          <w:lang w:val="hy-AM"/>
        </w:rPr>
        <w:t>2</w:t>
      </w:r>
      <w:r>
        <w:rPr>
          <w:rFonts w:ascii="GHEA Grapalat" w:hAnsi="GHEA Grapalat"/>
          <w:sz w:val="16"/>
          <w:szCs w:val="16"/>
          <w:lang w:val="hy-AM"/>
        </w:rPr>
        <w:t xml:space="preserve"> օրինակ</w:t>
      </w:r>
    </w:p>
    <w:p w:rsidR="001949C7" w:rsidRDefault="001949C7" w:rsidP="001949C7">
      <w:pPr>
        <w:rPr>
          <w:rFonts w:ascii="GHEA Grapalat" w:hAnsi="GHEA Grapalat"/>
          <w:sz w:val="16"/>
          <w:szCs w:val="16"/>
          <w:lang w:val="hy-AM"/>
        </w:rPr>
      </w:pPr>
      <w:r>
        <w:rPr>
          <w:rFonts w:ascii="GHEA Grapalat" w:hAnsi="GHEA Grapalat"/>
          <w:sz w:val="16"/>
          <w:szCs w:val="16"/>
          <w:lang w:val="hy-AM"/>
        </w:rPr>
        <w:t xml:space="preserve">                                                                                                                                Օրինակ ––––</w:t>
      </w:r>
    </w:p>
    <w:p w:rsidR="001949C7" w:rsidRDefault="001949C7" w:rsidP="001949C7">
      <w:pPr>
        <w:rPr>
          <w:rFonts w:ascii="GHEA Grapalat" w:hAnsi="GHEA Grapalat"/>
          <w:sz w:val="16"/>
          <w:szCs w:val="16"/>
          <w:lang w:val="hy-AM"/>
        </w:rPr>
      </w:pP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/2022թ․                                                            ռեգիստրի Դիլիջանի տարածքային </w:t>
      </w: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1949C7" w:rsidRPr="00854AF2" w:rsidRDefault="001949C7" w:rsidP="001949C7">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1949C7" w:rsidRPr="008F54FE" w:rsidRDefault="001949C7" w:rsidP="001949C7">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1949C7" w:rsidRPr="008F54FE" w:rsidRDefault="001949C7" w:rsidP="001949C7">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4A42E9">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1949C7" w:rsidRPr="008F54FE" w:rsidRDefault="001949C7" w:rsidP="001949C7">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1949C7" w:rsidRPr="008F54FE" w:rsidRDefault="001949C7" w:rsidP="001949C7">
      <w:pPr>
        <w:spacing w:line="240" w:lineRule="auto"/>
        <w:jc w:val="center"/>
        <w:rPr>
          <w:rFonts w:ascii="GHEA Grapalat" w:hAnsi="GHEA Grapalat"/>
          <w:b/>
          <w:sz w:val="20"/>
          <w:szCs w:val="20"/>
          <w:lang w:val="hy-AM"/>
        </w:rPr>
      </w:pPr>
    </w:p>
    <w:p w:rsidR="001949C7" w:rsidRPr="00FB2143" w:rsidRDefault="001949C7" w:rsidP="001949C7">
      <w:pPr>
        <w:jc w:val="center"/>
        <w:rPr>
          <w:rFonts w:ascii="GHEA Grapalat" w:hAnsi="GHEA Grapalat"/>
          <w:b/>
          <w:sz w:val="24"/>
          <w:szCs w:val="24"/>
          <w:lang w:val="hy-AM"/>
        </w:rPr>
      </w:pPr>
    </w:p>
    <w:p w:rsidR="001949C7" w:rsidRPr="008F54FE" w:rsidRDefault="001949C7" w:rsidP="001949C7">
      <w:pPr>
        <w:jc w:val="center"/>
        <w:rPr>
          <w:rFonts w:ascii="GHEA Grapalat" w:hAnsi="GHEA Grapalat"/>
          <w:b/>
          <w:sz w:val="24"/>
          <w:szCs w:val="24"/>
          <w:lang w:val="hy-AM"/>
        </w:rPr>
      </w:pPr>
    </w:p>
    <w:p w:rsidR="001949C7" w:rsidRPr="00F7640F" w:rsidRDefault="001949C7" w:rsidP="001949C7">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 xml:space="preserve">ԴԻԼԻՋԱՆԻ ԹԻՎ </w:t>
      </w:r>
      <w:r>
        <w:rPr>
          <w:rFonts w:ascii="GHEA Grapalat" w:hAnsi="GHEA Grapalat" w:cs="Times New Roman"/>
          <w:b/>
          <w:sz w:val="28"/>
          <w:szCs w:val="28"/>
          <w:lang w:val="hy-AM"/>
        </w:rPr>
        <w:t>2</w:t>
      </w:r>
      <w:r w:rsidRPr="00F7640F">
        <w:rPr>
          <w:rFonts w:ascii="GHEA Grapalat" w:hAnsi="GHEA Grapalat" w:cs="Times New Roman"/>
          <w:b/>
          <w:sz w:val="28"/>
          <w:szCs w:val="28"/>
          <w:lang w:val="hy-AM"/>
        </w:rPr>
        <w:t xml:space="preserve"> ՄԱՆԿԱՊԱՐՏԵԶ»</w:t>
      </w:r>
    </w:p>
    <w:p w:rsidR="001949C7" w:rsidRPr="00F7640F" w:rsidRDefault="001949C7" w:rsidP="001949C7">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1949C7" w:rsidRPr="00F7640F" w:rsidRDefault="001949C7" w:rsidP="001949C7">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1949C7" w:rsidRPr="001476EF" w:rsidRDefault="001949C7" w:rsidP="001949C7">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r w:rsidR="004A42E9">
        <w:rPr>
          <w:rFonts w:ascii="GHEA Grapalat" w:hAnsi="GHEA Grapalat" w:cs="Times New Roman"/>
          <w:b/>
          <w:sz w:val="28"/>
          <w:szCs w:val="28"/>
          <w:lang w:val="hy-AM"/>
        </w:rPr>
        <w:t>/</w:t>
      </w:r>
      <w:bookmarkStart w:id="0" w:name="_GoBack"/>
      <w:bookmarkEnd w:id="0"/>
    </w:p>
    <w:p w:rsidR="009873C8" w:rsidRDefault="009873C8" w:rsidP="0012558C">
      <w:pPr>
        <w:pStyle w:val="a4"/>
        <w:ind w:firstLine="0"/>
        <w:rPr>
          <w:rFonts w:ascii="GHEA Grapalat" w:hAnsi="GHEA Grapalat"/>
        </w:rPr>
      </w:pPr>
    </w:p>
    <w:p w:rsidR="00584553" w:rsidRDefault="00584553" w:rsidP="00584553">
      <w:pPr>
        <w:pStyle w:val="a4"/>
        <w:ind w:left="720" w:firstLine="0"/>
        <w:rPr>
          <w:rFonts w:ascii="GHEA Grapalat" w:hAnsi="GHEA Grapalat"/>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 xml:space="preserve">ԴԻԼԻՋԱՆԻ ԹԻՎ </w:t>
      </w:r>
      <w:r w:rsidR="00893DDC">
        <w:rPr>
          <w:rFonts w:ascii="GHEA Grapalat" w:hAnsi="GHEA Grapalat"/>
          <w:sz w:val="22"/>
          <w:szCs w:val="22"/>
          <w:lang w:val="hy-AM"/>
        </w:rPr>
        <w:t>2</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0B5DA3">
        <w:rPr>
          <w:rFonts w:ascii="GHEA Grapalat" w:hAnsi="GHEA Grapalat"/>
          <w:sz w:val="22"/>
          <w:szCs w:val="22"/>
          <w:lang w:val="hy-AM"/>
        </w:rPr>
        <w:t xml:space="preserve"> փողոց Գայի 41</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 xml:space="preserve">ԴԻԼԻՋԱՆԻ ԹԻՎ </w:t>
      </w:r>
      <w:r w:rsidR="000B5DA3">
        <w:rPr>
          <w:rFonts w:ascii="GHEA Grapalat" w:hAnsi="GHEA Grapalat"/>
          <w:sz w:val="22"/>
          <w:szCs w:val="22"/>
          <w:lang w:val="hy-AM"/>
        </w:rPr>
        <w:t>2</w:t>
      </w:r>
      <w:r w:rsidR="00BE3D44"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ԴԻԼԻՋԱՆԻ ԹԻՎ </w:t>
      </w:r>
      <w:r w:rsidR="000B5DA3">
        <w:rPr>
          <w:rFonts w:ascii="GHEA Grapalat" w:hAnsi="GHEA Grapalat"/>
          <w:sz w:val="22"/>
          <w:szCs w:val="22"/>
          <w:lang w:val="hy-AM"/>
        </w:rPr>
        <w:t>2</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 xml:space="preserve">ДИЛИЖАНСКИЙ ДЕТСКИЙ САД № </w:t>
      </w:r>
      <w:r w:rsidR="000B5DA3">
        <w:rPr>
          <w:rFonts w:ascii="GHEA Grapalat" w:hAnsi="GHEA Grapalat"/>
          <w:sz w:val="22"/>
          <w:szCs w:val="22"/>
          <w:lang w:val="hy-AM"/>
        </w:rPr>
        <w:t>2</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 xml:space="preserve">ДИЛИЖАНСКИЙ ДЕТСКИЙ САД № </w:t>
      </w:r>
      <w:r w:rsidR="000B5DA3">
        <w:rPr>
          <w:rFonts w:ascii="GHEA Grapalat" w:hAnsi="GHEA Grapalat"/>
          <w:sz w:val="22"/>
          <w:szCs w:val="22"/>
          <w:lang w:val="hy-AM"/>
        </w:rPr>
        <w:t>2</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w:t>
      </w:r>
      <w:r w:rsidR="000B5DA3">
        <w:rPr>
          <w:rFonts w:ascii="GHEA Grapalat" w:hAnsi="GHEA Grapalat"/>
          <w:sz w:val="22"/>
          <w:szCs w:val="22"/>
          <w:lang w:val="hy-AM"/>
        </w:rPr>
        <w:t>2</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w:t>
      </w:r>
      <w:r w:rsidR="000B5DA3">
        <w:rPr>
          <w:rFonts w:ascii="GHEA Grapalat" w:hAnsi="GHEA Grapalat"/>
          <w:sz w:val="22"/>
          <w:szCs w:val="22"/>
          <w:lang w:val="hy-AM"/>
        </w:rPr>
        <w:t>2</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7E" w:rsidRDefault="0016147E" w:rsidP="00843E91">
      <w:pPr>
        <w:spacing w:after="0" w:line="240" w:lineRule="auto"/>
      </w:pPr>
      <w:r>
        <w:separator/>
      </w:r>
    </w:p>
  </w:endnote>
  <w:endnote w:type="continuationSeparator" w:id="0">
    <w:p w:rsidR="0016147E" w:rsidRDefault="0016147E"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7E" w:rsidRDefault="0016147E" w:rsidP="00843E91">
      <w:pPr>
        <w:spacing w:after="0" w:line="240" w:lineRule="auto"/>
      </w:pPr>
      <w:r>
        <w:separator/>
      </w:r>
    </w:p>
  </w:footnote>
  <w:footnote w:type="continuationSeparator" w:id="0">
    <w:p w:rsidR="0016147E" w:rsidRDefault="0016147E"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4A42E9">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4402"/>
    <w:rsid w:val="001226B9"/>
    <w:rsid w:val="0012558C"/>
    <w:rsid w:val="00125F9E"/>
    <w:rsid w:val="0016147E"/>
    <w:rsid w:val="00180F5C"/>
    <w:rsid w:val="001949C7"/>
    <w:rsid w:val="001C7471"/>
    <w:rsid w:val="002027FB"/>
    <w:rsid w:val="00210238"/>
    <w:rsid w:val="002105CE"/>
    <w:rsid w:val="00232811"/>
    <w:rsid w:val="002569C4"/>
    <w:rsid w:val="0027436E"/>
    <w:rsid w:val="002D1FE1"/>
    <w:rsid w:val="002D7326"/>
    <w:rsid w:val="00311095"/>
    <w:rsid w:val="003123F0"/>
    <w:rsid w:val="0035216E"/>
    <w:rsid w:val="00360698"/>
    <w:rsid w:val="00397F63"/>
    <w:rsid w:val="003C6175"/>
    <w:rsid w:val="003E44A8"/>
    <w:rsid w:val="003E70A5"/>
    <w:rsid w:val="003F3580"/>
    <w:rsid w:val="0042292D"/>
    <w:rsid w:val="00441666"/>
    <w:rsid w:val="00473621"/>
    <w:rsid w:val="00476C31"/>
    <w:rsid w:val="004A42E9"/>
    <w:rsid w:val="004B34A8"/>
    <w:rsid w:val="004B37E0"/>
    <w:rsid w:val="004F71A1"/>
    <w:rsid w:val="00510CDD"/>
    <w:rsid w:val="00560130"/>
    <w:rsid w:val="005670EC"/>
    <w:rsid w:val="00584553"/>
    <w:rsid w:val="00590211"/>
    <w:rsid w:val="005914CF"/>
    <w:rsid w:val="005915CF"/>
    <w:rsid w:val="005A1ACE"/>
    <w:rsid w:val="005A7E82"/>
    <w:rsid w:val="005C27B7"/>
    <w:rsid w:val="005E3723"/>
    <w:rsid w:val="00612943"/>
    <w:rsid w:val="00630EE5"/>
    <w:rsid w:val="0067257F"/>
    <w:rsid w:val="00682C8E"/>
    <w:rsid w:val="0069025A"/>
    <w:rsid w:val="0069350A"/>
    <w:rsid w:val="006A736B"/>
    <w:rsid w:val="006B6192"/>
    <w:rsid w:val="006E7100"/>
    <w:rsid w:val="006F1805"/>
    <w:rsid w:val="00700C2A"/>
    <w:rsid w:val="00716CA5"/>
    <w:rsid w:val="00724DF9"/>
    <w:rsid w:val="00760FD6"/>
    <w:rsid w:val="00770716"/>
    <w:rsid w:val="007738D2"/>
    <w:rsid w:val="00795F22"/>
    <w:rsid w:val="007B4373"/>
    <w:rsid w:val="007B738F"/>
    <w:rsid w:val="007F624F"/>
    <w:rsid w:val="008011B2"/>
    <w:rsid w:val="00843E91"/>
    <w:rsid w:val="00864C74"/>
    <w:rsid w:val="0087397D"/>
    <w:rsid w:val="008867E0"/>
    <w:rsid w:val="0089042A"/>
    <w:rsid w:val="00890829"/>
    <w:rsid w:val="00893DDC"/>
    <w:rsid w:val="008E637B"/>
    <w:rsid w:val="008E668B"/>
    <w:rsid w:val="00910D5E"/>
    <w:rsid w:val="00971976"/>
    <w:rsid w:val="009873C8"/>
    <w:rsid w:val="009B6C83"/>
    <w:rsid w:val="009E78D1"/>
    <w:rsid w:val="00A736D4"/>
    <w:rsid w:val="00B04D3B"/>
    <w:rsid w:val="00B2331F"/>
    <w:rsid w:val="00B632F1"/>
    <w:rsid w:val="00B63858"/>
    <w:rsid w:val="00B8546C"/>
    <w:rsid w:val="00BA3C9F"/>
    <w:rsid w:val="00BC765A"/>
    <w:rsid w:val="00BD4E4B"/>
    <w:rsid w:val="00BE02BC"/>
    <w:rsid w:val="00BE3D44"/>
    <w:rsid w:val="00BF6480"/>
    <w:rsid w:val="00C06A95"/>
    <w:rsid w:val="00C06DA4"/>
    <w:rsid w:val="00C22D56"/>
    <w:rsid w:val="00C65F9A"/>
    <w:rsid w:val="00C778A9"/>
    <w:rsid w:val="00C81B5A"/>
    <w:rsid w:val="00CC7882"/>
    <w:rsid w:val="00D21787"/>
    <w:rsid w:val="00E02D0D"/>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893D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285B-FD1F-45F2-BC4F-4C892A4D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3365</Words>
  <Characters>19187</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2022-01-04T12:39:00Z</cp:lastPrinted>
  <dcterms:created xsi:type="dcterms:W3CDTF">2021-12-14T12:49:00Z</dcterms:created>
  <dcterms:modified xsi:type="dcterms:W3CDTF">2022-01-25T09:05:00Z</dcterms:modified>
</cp:coreProperties>
</file>